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D30C28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77463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08CF22D5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 xml:space="preserve">Votomassa  </w:t>
            </w:r>
            <w:r w:rsidR="00D30C28">
              <w:rPr>
                <w:sz w:val="20"/>
              </w:rPr>
              <w:t>COLA TUDO</w:t>
            </w:r>
            <w:r w:rsidR="00E76F73">
              <w:rPr>
                <w:sz w:val="20"/>
              </w:rPr>
              <w:t xml:space="preserve"> </w:t>
            </w:r>
            <w:r w:rsidR="00995B08">
              <w:rPr>
                <w:sz w:val="20"/>
              </w:rPr>
              <w:t>CINZA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D30C28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D30C28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D30C28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D30C28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D30C28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D30C28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D30C28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D30C28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D30C28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D30C28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D30C28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D30C28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D30C28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D30C28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D30C28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D30C28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D30C28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F522A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D30C28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D30C28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D30C28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D30C28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D30C28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D30C28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D30C28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D30C28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D30C28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3140"/>
        <w:gridCol w:w="1223"/>
        <w:gridCol w:w="6149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D30C28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D63FD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D30C28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D30C28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D30C28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D30C28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D30C28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D30C28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D30C28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D30C28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D30C28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D30C28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D30C28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D30C28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D30C28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D30C28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D30C28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D30C28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D30C28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D30C28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D30C28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D30C28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D30C28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D30C28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1293"/>
              <w:gridCol w:w="1719"/>
              <w:gridCol w:w="413"/>
              <w:gridCol w:w="413"/>
            </w:tblGrid>
            <w:tr w:rsidR="00AF5CBE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AF5CBE" w:rsidRPr="004463CB" w14:paraId="16FE2D21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15B37" w14:textId="678EC40F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 w:rsidR="00AF5CB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52BB1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9EF8E" w14:textId="0333808F" w:rsidR="00780E5F" w:rsidRPr="004463CB" w:rsidRDefault="007D4355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  <w:r w:rsidR="00E76F73">
                    <w:rPr>
                      <w:rFonts w:ascii="Calibri" w:eastAsia="Times New Roman" w:hAnsi="Calibri" w:cs="Calibri"/>
                      <w:color w:val="000000"/>
                    </w:rPr>
                    <w:t xml:space="preserve"> a 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F5CBE" w:rsidRPr="004463CB" w14:paraId="6913265E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5AA7B45A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Areia de Sílica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14808-60-7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212A2" w14:textId="10B78002" w:rsidR="00780E5F" w:rsidRPr="004463CB" w:rsidRDefault="00E76F73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40 a 6</w:t>
                  </w:r>
                  <w:r w:rsidR="007D435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D30C28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D30C28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0B745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D30C28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D30C28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D30C28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D30C28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D30C28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D30C28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D30C28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D30C28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D30C28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D30C28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D30C28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D30C28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D30C28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D30C28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D30C28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D30C28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D30C28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D30C28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D30C28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E4802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D30C28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D30C28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D30C28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D30C28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D30C28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D30C28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D30C28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D30C28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D30C28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D30C28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D30C28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D30C28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D30C28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D30C28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D30C28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D30C28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D30C28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D30C28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C2351E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D30C28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D30C28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D30C28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D30C28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D30C28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D30C28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D30C28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D30C28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D30C28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D30C28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D30C28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D30C28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D30C28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D30C28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D30C28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D30C28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D30C28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D30C28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D30C28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D30C28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D30C28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D30C28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D30C28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D30C28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D30C28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D30C28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D30C28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D30C28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D30C28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D30C28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D30C28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D30C28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D30C28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D30C28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D30C28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D30C28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7777777" w:rsidR="005D405B" w:rsidRDefault="00D30C28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Cinza.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D30C28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D30C28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D30C28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D30C28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D30C28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D30C28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D30C28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D30C28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D30C28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D30C28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D30C28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D30C28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D30C28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D30C28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D30C28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D30C28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D30C28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D30C28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D30C28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D30C28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D30C28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D30C28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D30C28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D30C28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D30C28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D30C28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D30C28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D30C28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D30C28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D30C28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D30C28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D30C28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D30C28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D30C28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D30C28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D30C28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D30C28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D30C28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D30C28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D30C28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D30C28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D30C28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D30C28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D30C28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D30C28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D30C28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D30C28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D30C28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D30C28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D30C28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D30C28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D30C28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D30C28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D30C28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D30C28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D30C28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D30C28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D30C28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D30C28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D30C28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82D03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D30C28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D30C28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D30C28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D30C28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D30C28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D30C28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D30C28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D30C28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D30C28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D30C28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D30C28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D30C28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D30C28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D30C28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D30C28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D30C28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D30C28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D30C28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D30C28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D30C28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D30C28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D30C28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D30C28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D30C28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D30C28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D30C28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D30C28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D30C28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D30C28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D30C28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D30C28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D30C2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D30C28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D30C28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D30C28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D30C28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D30C28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D30C28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D30C28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D30C28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D30C28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D30C28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D30C28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D30C28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D30C28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D30C28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D30C28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D30C28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D30C28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D30C28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D30C28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D30C28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D30C28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D30C28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D30C28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D30C28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D30C28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Limite);</w:t>
            </w:r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D30C28" w:rsidRDefault="00D30C28" w:rsidP="00780E5F">
      <w:pPr>
        <w:pStyle w:val="TableParagraph"/>
        <w:spacing w:line="209" w:lineRule="exact"/>
      </w:pPr>
    </w:p>
    <w:sectPr w:rsidR="00000000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D30C28" w:rsidRDefault="00D30C28">
      <w:r>
        <w:separator/>
      </w:r>
    </w:p>
  </w:endnote>
  <w:endnote w:type="continuationSeparator" w:id="0">
    <w:p w14:paraId="32ACFC76" w14:textId="77777777" w:rsidR="00D30C28" w:rsidRDefault="00D3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D30C28" w:rsidRDefault="00D30C28">
      <w:r>
        <w:separator/>
      </w:r>
    </w:p>
  </w:footnote>
  <w:footnote w:type="continuationSeparator" w:id="0">
    <w:p w14:paraId="544BBB14" w14:textId="77777777" w:rsidR="00D30C28" w:rsidRDefault="00D3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D30C28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D30C28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D30C28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D30C28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0C28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0C28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BE89AE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D30C28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D30C2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D30C28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D30C2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D30C28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0C28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D30C2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D30C2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0C28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D30C28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D30C28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260595"/>
    <w:rsid w:val="005D405B"/>
    <w:rsid w:val="00601ADE"/>
    <w:rsid w:val="00702F0F"/>
    <w:rsid w:val="00762610"/>
    <w:rsid w:val="00780E5F"/>
    <w:rsid w:val="007C63D8"/>
    <w:rsid w:val="007D4355"/>
    <w:rsid w:val="008872CC"/>
    <w:rsid w:val="00995B08"/>
    <w:rsid w:val="00A11F9E"/>
    <w:rsid w:val="00AE044B"/>
    <w:rsid w:val="00AF5CBE"/>
    <w:rsid w:val="00BA37E2"/>
    <w:rsid w:val="00C2351E"/>
    <w:rsid w:val="00D30C28"/>
    <w:rsid w:val="00E76F73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Viviani Meneghin Magalhaes</dc:creator>
  <cp:lastModifiedBy>Marcio Jose Jacob Alves Dos Santos</cp:lastModifiedBy>
  <cp:revision>4</cp:revision>
  <dcterms:created xsi:type="dcterms:W3CDTF">2025-06-16T14:48:00Z</dcterms:created>
  <dcterms:modified xsi:type="dcterms:W3CDTF">2025-06-16T14:49:00Z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